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寿光市中医医院门帘报价单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235"/>
        <w:gridCol w:w="2115"/>
        <w:gridCol w:w="1020"/>
        <w:gridCol w:w="1200"/>
        <w:gridCol w:w="1155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棉门帘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平方米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PU材质，双层棉，门帘65cm宽，离地110cm开30*45cm口，帘两底角加沙袋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皮门帘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谢人牌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平方米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3.5mm厚，20cm宽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门帘挂件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钢制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请于2018年10月29日前以密封信件的形式报送医院信息科，快递及自送皆可。请在快递袋或信封上备注“门帘报价单”。</w:t>
      </w:r>
    </w:p>
    <w:p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无任何理由保修一年，安装完成验收合格第二年撤帘后付款。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B8DC"/>
    <w:multiLevelType w:val="singleLevel"/>
    <w:tmpl w:val="4A9FB8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D4121A"/>
    <w:rsid w:val="405B61CE"/>
    <w:rsid w:val="41DB5C1A"/>
    <w:rsid w:val="46CF63D8"/>
    <w:rsid w:val="4BCC04DB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2018-10-25T07:48:36Z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