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采购要求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、病床尺寸</w:t>
      </w:r>
      <w:r>
        <w:rPr>
          <w:sz w:val="28"/>
          <w:szCs w:val="28"/>
        </w:rPr>
        <w:t>:L2150*W950*H500mm</w:t>
      </w:r>
      <w:r>
        <w:rPr>
          <w:rFonts w:hint="eastAsia"/>
          <w:sz w:val="28"/>
          <w:szCs w:val="28"/>
        </w:rPr>
        <w:t>±</w:t>
      </w:r>
      <w:r>
        <w:rPr>
          <w:sz w:val="28"/>
          <w:szCs w:val="28"/>
        </w:rPr>
        <w:t>50mm</w:t>
      </w:r>
      <w:r>
        <w:rPr>
          <w:rFonts w:hint="eastAsia"/>
          <w:sz w:val="28"/>
          <w:szCs w:val="28"/>
        </w:rPr>
        <w:t>，符合国家病床标准要求。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、床体骨架采用加厚成型优质金属方管焊接而成，床体坚固耐用，承重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≥</w:t>
      </w:r>
      <w:r>
        <w:rPr>
          <w:sz w:val="28"/>
          <w:szCs w:val="28"/>
        </w:rPr>
        <w:t>240Kg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、床头、床尾采用装卸自如，坚固耐用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床尾板外侧带患者信息卡插槽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床头牌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>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、床面采用优质冷轧钢带一次压制成型，厚度≥</w:t>
      </w:r>
      <w:r>
        <w:rPr>
          <w:sz w:val="28"/>
          <w:szCs w:val="28"/>
        </w:rPr>
        <w:t>1.2mm</w:t>
      </w:r>
      <w:r>
        <w:rPr>
          <w:rFonts w:hint="eastAsia"/>
          <w:sz w:val="28"/>
          <w:szCs w:val="28"/>
        </w:rPr>
        <w:t>，便于透气并具有防滑功能，背部有钢管加强筋，采用双支撑结构。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、护栏采用折叠式护栏，管材为优质合金材料，坚固耐用，不易变形不使用时可折叠放于床框上</w:t>
      </w:r>
      <w:r>
        <w:rPr>
          <w:rFonts w:hint="eastAsia" w:ascii="宋体" w:hAnsi="宋体"/>
          <w:sz w:val="28"/>
          <w:szCs w:val="28"/>
        </w:rPr>
        <w:t>，防夹手，易清洁</w:t>
      </w:r>
      <w:r>
        <w:rPr>
          <w:rFonts w:hint="eastAsia" w:ascii="宋体" w:hAnsi="宋体" w:cs="SimSun-Identity-H"/>
          <w:kern w:val="0"/>
          <w:sz w:val="28"/>
          <w:szCs w:val="28"/>
        </w:rPr>
        <w:t>，确保病人安全，护栏放下来与床面平，使病人上下病床更加方便，坐在床边上不搁腿，方便医护人员对病人进行护理。护栏长度</w:t>
      </w:r>
      <w:r>
        <w:rPr>
          <w:rFonts w:hint="eastAsia" w:ascii="宋体" w:hAnsi="宋体"/>
          <w:sz w:val="28"/>
          <w:szCs w:val="28"/>
        </w:rPr>
        <w:t>≥</w:t>
      </w:r>
      <w:r>
        <w:rPr>
          <w:rFonts w:hint="eastAsia" w:ascii="宋体" w:hAnsi="宋体" w:cs="SimSun-Identity-H"/>
          <w:kern w:val="0"/>
          <w:sz w:val="28"/>
          <w:szCs w:val="28"/>
        </w:rPr>
        <w:t>145cm、高度</w:t>
      </w:r>
      <w:r>
        <w:rPr>
          <w:rFonts w:hint="eastAsia" w:ascii="宋体" w:hAnsi="宋体"/>
          <w:sz w:val="28"/>
          <w:szCs w:val="28"/>
        </w:rPr>
        <w:t>≥</w:t>
      </w:r>
      <w:r>
        <w:rPr>
          <w:rFonts w:hint="eastAsia" w:ascii="宋体" w:hAnsi="宋体" w:cs="SimSun-Identity-H"/>
          <w:kern w:val="0"/>
          <w:sz w:val="28"/>
          <w:szCs w:val="28"/>
        </w:rPr>
        <w:t>35cm。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、四轮</w:t>
      </w:r>
      <w:r>
        <w:rPr>
          <w:rFonts w:hint="eastAsia"/>
          <w:sz w:val="28"/>
          <w:szCs w:val="28"/>
          <w:lang w:eastAsia="zh-CN"/>
        </w:rPr>
        <w:t>全部</w:t>
      </w:r>
      <w:r>
        <w:rPr>
          <w:rFonts w:hint="eastAsia"/>
          <w:sz w:val="28"/>
          <w:szCs w:val="28"/>
        </w:rPr>
        <w:t>采用≥</w:t>
      </w:r>
      <w:r>
        <w:rPr>
          <w:sz w:val="28"/>
          <w:szCs w:val="28"/>
        </w:rPr>
        <w:t>125mm</w:t>
      </w:r>
      <w:r>
        <w:rPr>
          <w:rFonts w:hint="eastAsia"/>
          <w:sz w:val="28"/>
          <w:szCs w:val="28"/>
        </w:rPr>
        <w:t>豪华静音车轮，配置金属隐藏式摇把，具有双向极限保护设置，摇杆传动升降系统，背部升降角度≥</w:t>
      </w:r>
      <w:r>
        <w:rPr>
          <w:sz w:val="28"/>
          <w:szCs w:val="28"/>
        </w:rPr>
        <w:t>70</w:t>
      </w:r>
      <w:r>
        <w:rPr>
          <w:rFonts w:hint="eastAsia"/>
          <w:sz w:val="28"/>
          <w:szCs w:val="28"/>
        </w:rPr>
        <w:t>°，四角带有输液架插孔以及引流挂钩，并配置输液架。</w:t>
      </w:r>
    </w:p>
    <w:p>
      <w:pPr>
        <w:spacing w:line="340" w:lineRule="exact"/>
        <w:rPr>
          <w:rFonts w:ascii="宋体" w:hAnsi="宋体"/>
          <w:sz w:val="24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rFonts w:hint="eastAsia" w:ascii="宋体" w:hAnsi="宋体"/>
          <w:sz w:val="24"/>
        </w:rPr>
        <w:t>床垫厚度：8cm 。床垫内褥：高密度海绵（5cm）＋正宗椰棕（3cm），床垫正面为软面，反面为硬面。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、标准配置：合金护栏、豪华静音刹车轮、专用床垫、引流挂钩、金属伸缩式输液杆、床底钢制杂物架、餐桌板</w:t>
      </w:r>
    </w:p>
    <w:p>
      <w:pPr>
        <w:spacing w:line="360" w:lineRule="auto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二、售后服务</w:t>
      </w:r>
      <w:r>
        <w:rPr>
          <w:rFonts w:hint="eastAsia" w:ascii="宋体" w:hAnsi="宋体"/>
          <w:b/>
          <w:sz w:val="28"/>
          <w:szCs w:val="28"/>
          <w:lang w:eastAsia="zh-CN"/>
        </w:rPr>
        <w:t>及其他</w:t>
      </w:r>
    </w:p>
    <w:p>
      <w:pPr>
        <w:widowControl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1、质保期内，厂方工程师每年度来院维护保养1次。</w:t>
      </w:r>
    </w:p>
    <w:p>
      <w:pPr>
        <w:widowControl/>
        <w:spacing w:line="360" w:lineRule="auto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</w:t>
      </w:r>
      <w:r>
        <w:rPr>
          <w:rFonts w:hint="eastAsia" w:ascii="宋体" w:hAnsi="宋体"/>
          <w:kern w:val="0"/>
          <w:sz w:val="28"/>
          <w:szCs w:val="28"/>
        </w:rPr>
        <w:t>中标方负责安装到位。</w:t>
      </w:r>
    </w:p>
    <w:p>
      <w:pPr>
        <w:spacing w:line="36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3、山东设有办事处或售后服务中心，工程师定期巡检，定期保养。</w:t>
      </w:r>
    </w:p>
    <w:p>
      <w:pPr>
        <w:spacing w:line="360" w:lineRule="auto"/>
        <w:outlineLvl w:val="0"/>
        <w:rPr>
          <w:rFonts w:hint="eastAsia" w:ascii="宋体" w:hAnsi="宋体" w:cs="仿宋"/>
          <w:b/>
          <w:sz w:val="28"/>
          <w:szCs w:val="28"/>
        </w:rPr>
      </w:pPr>
      <w:r>
        <w:rPr>
          <w:rFonts w:hint="eastAsia" w:ascii="宋体" w:hAnsi="宋体" w:cs="仿宋"/>
          <w:b/>
          <w:sz w:val="28"/>
          <w:szCs w:val="28"/>
        </w:rPr>
        <w:t>4、提供免费3年保修。</w:t>
      </w:r>
    </w:p>
    <w:p>
      <w:pPr>
        <w:spacing w:line="360" w:lineRule="auto"/>
        <w:outlineLvl w:val="0"/>
        <w:rPr>
          <w:rFonts w:hint="eastAsia" w:ascii="宋体" w:hAnsi="宋体" w:cs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color w:val="FF0000"/>
          <w:sz w:val="28"/>
          <w:szCs w:val="28"/>
          <w:lang w:val="en-US" w:eastAsia="zh-CN"/>
        </w:rPr>
        <w:t>5、随报价单提供产品彩页，否则视为无效报价</w:t>
      </w:r>
    </w:p>
    <w:p>
      <w:pPr>
        <w:spacing w:line="360" w:lineRule="auto"/>
        <w:outlineLvl w:val="0"/>
        <w:rPr>
          <w:rFonts w:hint="default" w:ascii="宋体" w:hAnsi="宋体" w:cs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color w:val="FF0000"/>
          <w:sz w:val="28"/>
          <w:szCs w:val="28"/>
          <w:lang w:val="en-US" w:eastAsia="zh-CN"/>
        </w:rPr>
        <w:t>6、控制价格2000元/张，超过控制价格视为无效报价。</w:t>
      </w:r>
      <w:bookmarkStart w:id="0" w:name="_GoBack"/>
      <w:bookmarkEnd w:id="0"/>
    </w:p>
    <w:p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A6F"/>
    <w:rsid w:val="008F5A6F"/>
    <w:rsid w:val="00FB7965"/>
    <w:rsid w:val="3878624A"/>
    <w:rsid w:val="6D22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2840</TotalTime>
  <ScaleCrop>false</ScaleCrop>
  <LinksUpToDate>false</LinksUpToDate>
  <CharactersWithSpaces>584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2020-01-10T09:13:00Z</dcterms:created>
  <dc:creator>王晓刚</dc:creator>
  <cp:lastModifiedBy>风之子</cp:lastModifiedBy>
  <dcterms:modified xsi:type="dcterms:W3CDTF">2020-01-15T00:00:07Z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